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210" w:rsidRDefault="00FA6210" w:rsidP="00B5503E">
      <w:pPr>
        <w:spacing w:line="480" w:lineRule="auto"/>
        <w:jc w:val="center"/>
        <w:rPr>
          <w:b/>
        </w:rPr>
      </w:pPr>
    </w:p>
    <w:p w:rsidR="00FA6210" w:rsidRDefault="00FA6210" w:rsidP="00B5503E">
      <w:pPr>
        <w:spacing w:line="480" w:lineRule="auto"/>
        <w:jc w:val="center"/>
        <w:rPr>
          <w:b/>
        </w:rPr>
      </w:pPr>
    </w:p>
    <w:p w:rsidR="00FA6210" w:rsidRDefault="00FA6210" w:rsidP="00B5503E">
      <w:pPr>
        <w:spacing w:line="480" w:lineRule="auto"/>
        <w:jc w:val="center"/>
        <w:rPr>
          <w:b/>
        </w:rPr>
      </w:pPr>
    </w:p>
    <w:p w:rsidR="00FA6210" w:rsidRDefault="00FA6210" w:rsidP="00B5503E">
      <w:pPr>
        <w:spacing w:line="480" w:lineRule="auto"/>
        <w:jc w:val="center"/>
        <w:rPr>
          <w:b/>
        </w:rPr>
      </w:pPr>
    </w:p>
    <w:p w:rsidR="00FA6210" w:rsidRDefault="00FA6210" w:rsidP="00B5503E">
      <w:pPr>
        <w:spacing w:line="480" w:lineRule="auto"/>
        <w:jc w:val="center"/>
        <w:rPr>
          <w:b/>
        </w:rPr>
      </w:pPr>
    </w:p>
    <w:p w:rsidR="00552A20" w:rsidRDefault="00552A20" w:rsidP="00B5503E">
      <w:pPr>
        <w:spacing w:line="480" w:lineRule="auto"/>
        <w:jc w:val="center"/>
        <w:rPr>
          <w:b/>
        </w:rPr>
      </w:pPr>
      <w:r w:rsidRPr="00B5503E">
        <w:rPr>
          <w:b/>
        </w:rPr>
        <w:t>Statement of Financial Position Analysis: Kuwait Cement Company</w:t>
      </w:r>
    </w:p>
    <w:p w:rsidR="00FA6210" w:rsidRPr="00FA6210" w:rsidRDefault="00FA6210" w:rsidP="00B5503E">
      <w:pPr>
        <w:spacing w:line="480" w:lineRule="auto"/>
        <w:jc w:val="center"/>
      </w:pPr>
      <w:r w:rsidRPr="00FA6210">
        <w:t>Name</w:t>
      </w:r>
    </w:p>
    <w:p w:rsidR="00FA6210" w:rsidRPr="00FA6210" w:rsidRDefault="00FA6210" w:rsidP="00FA6210">
      <w:pPr>
        <w:spacing w:line="480" w:lineRule="auto"/>
        <w:jc w:val="center"/>
      </w:pPr>
      <w:r w:rsidRPr="00FA6210">
        <w:t>Institution</w:t>
      </w:r>
    </w:p>
    <w:p w:rsidR="00FA6210" w:rsidRDefault="00FA6210" w:rsidP="00FA6210">
      <w:pPr>
        <w:spacing w:line="480" w:lineRule="auto"/>
        <w:jc w:val="center"/>
      </w:pPr>
      <w:r w:rsidRPr="00FA6210">
        <w:t>Date</w:t>
      </w:r>
    </w:p>
    <w:p w:rsidR="00FA6210" w:rsidRDefault="00FA6210" w:rsidP="00FA6210">
      <w:pPr>
        <w:spacing w:line="480" w:lineRule="auto"/>
        <w:jc w:val="center"/>
      </w:pPr>
    </w:p>
    <w:p w:rsidR="00FA6210" w:rsidRDefault="00FA6210" w:rsidP="00FA6210">
      <w:pPr>
        <w:spacing w:line="480" w:lineRule="auto"/>
        <w:jc w:val="center"/>
      </w:pPr>
    </w:p>
    <w:p w:rsidR="00FA6210" w:rsidRDefault="00FA6210" w:rsidP="00FA6210">
      <w:pPr>
        <w:spacing w:line="480" w:lineRule="auto"/>
        <w:jc w:val="center"/>
      </w:pPr>
    </w:p>
    <w:p w:rsidR="00FA6210" w:rsidRDefault="00FA6210" w:rsidP="00FA6210">
      <w:pPr>
        <w:spacing w:line="480" w:lineRule="auto"/>
        <w:jc w:val="center"/>
      </w:pPr>
    </w:p>
    <w:p w:rsidR="00FA6210" w:rsidRDefault="00FA6210" w:rsidP="00FA6210">
      <w:pPr>
        <w:spacing w:line="480" w:lineRule="auto"/>
        <w:jc w:val="center"/>
      </w:pPr>
    </w:p>
    <w:p w:rsidR="00FA6210" w:rsidRDefault="00FA6210" w:rsidP="00FA6210">
      <w:pPr>
        <w:spacing w:line="480" w:lineRule="auto"/>
        <w:jc w:val="center"/>
      </w:pPr>
    </w:p>
    <w:p w:rsidR="00FA6210" w:rsidRDefault="00FA6210" w:rsidP="00FA6210">
      <w:pPr>
        <w:spacing w:line="480" w:lineRule="auto"/>
        <w:jc w:val="center"/>
      </w:pPr>
    </w:p>
    <w:p w:rsidR="00FA6210" w:rsidRDefault="00FA6210" w:rsidP="00FA6210">
      <w:pPr>
        <w:spacing w:line="480" w:lineRule="auto"/>
        <w:jc w:val="center"/>
      </w:pPr>
    </w:p>
    <w:p w:rsidR="00FA6210" w:rsidRDefault="00FA6210" w:rsidP="00FA6210">
      <w:pPr>
        <w:spacing w:line="480" w:lineRule="auto"/>
        <w:jc w:val="center"/>
        <w:rPr>
          <w:b/>
        </w:rPr>
      </w:pPr>
    </w:p>
    <w:p w:rsidR="00FA6210" w:rsidRPr="00B5503E" w:rsidRDefault="00FA6210" w:rsidP="00FA6210">
      <w:pPr>
        <w:spacing w:line="480" w:lineRule="auto"/>
        <w:jc w:val="center"/>
        <w:rPr>
          <w:b/>
        </w:rPr>
      </w:pPr>
      <w:r w:rsidRPr="00B5503E">
        <w:rPr>
          <w:b/>
        </w:rPr>
        <w:lastRenderedPageBreak/>
        <w:t>Statement of Financial Position Analysis: Kuwait Cement Company</w:t>
      </w:r>
    </w:p>
    <w:p w:rsidR="00552A20" w:rsidRPr="00B5503E" w:rsidRDefault="00552A20" w:rsidP="00B5503E">
      <w:pPr>
        <w:spacing w:line="480" w:lineRule="auto"/>
        <w:jc w:val="center"/>
        <w:rPr>
          <w:b/>
        </w:rPr>
      </w:pPr>
      <w:r w:rsidRPr="00B5503E">
        <w:rPr>
          <w:b/>
        </w:rPr>
        <w:t>Part 1</w:t>
      </w:r>
    </w:p>
    <w:p w:rsidR="00552A20" w:rsidRPr="00552A20" w:rsidRDefault="00552A20" w:rsidP="00B5503E">
      <w:pPr>
        <w:spacing w:line="480" w:lineRule="auto"/>
        <w:ind w:firstLine="720"/>
      </w:pPr>
      <w:r w:rsidRPr="00552A20">
        <w:t>Financial position is described as the organization's current balances of the recorded liabilities, assets, and equity. Notably, organizations' financial positions are stated in the balance sheet. Broadly, this can be assumed as the evaluation of the organization's financial condition through examination and comparison of the information available in the financial statements. The organization's assets are what it uses to operate its daily business. On the other hand, Liabilities refers to the money borrowed by the organization from an outside source and should be repaid, whereas equity is the owner's financing into the organization. Notably, the assets should always be equal to the sum of the owner's equity and liabilities. Besides, liabilities and assets are presented as either non-current or current on the balance sheet and should be indicated whether they are long or short term</w:t>
      </w:r>
      <w:r w:rsidR="00FC399D">
        <w:t xml:space="preserve"> (</w:t>
      </w:r>
      <w:r w:rsidR="00FC399D">
        <w:rPr>
          <w:color w:val="222222"/>
          <w:szCs w:val="24"/>
          <w:shd w:val="clear" w:color="auto" w:fill="FFFFFF"/>
        </w:rPr>
        <w:t xml:space="preserve">Kieso et al., </w:t>
      </w:r>
      <w:r w:rsidR="00FC399D" w:rsidRPr="00FC399D">
        <w:rPr>
          <w:color w:val="222222"/>
          <w:szCs w:val="24"/>
          <w:shd w:val="clear" w:color="auto" w:fill="FFFFFF"/>
        </w:rPr>
        <w:t>2020)</w:t>
      </w:r>
      <w:r w:rsidRPr="00552A20">
        <w:t xml:space="preserve">. In addition, examining the organization's income statement is fundamental in determining the organizations' financial position. Therefore, while assessing Kuwait Cement Company's understanding of the financial position statement's preparation, the above aspects must be considered.  </w:t>
      </w:r>
    </w:p>
    <w:p w:rsidR="00552A20" w:rsidRPr="00552A20" w:rsidRDefault="00552A20" w:rsidP="00B5503E">
      <w:pPr>
        <w:spacing w:line="480" w:lineRule="auto"/>
        <w:ind w:firstLine="720"/>
      </w:pPr>
      <w:r w:rsidRPr="00552A20">
        <w:t xml:space="preserve">Based on Kuwait Cement Company's consolidated financial positions statement, as per December 31, 2019, the organization seems to meet the majority of the requirements for analyzing a financial position. For instance, as of December 31, 2019, both the company's current and non-current assets were valued at 315,980,427 (note that </w:t>
      </w:r>
      <w:r w:rsidR="00570BD5" w:rsidRPr="00552A20">
        <w:t>the entire</w:t>
      </w:r>
      <w:r w:rsidRPr="00552A20">
        <w:t xml:space="preserve"> amount is in Kuwaiti Dinars)</w:t>
      </w:r>
      <w:r w:rsidR="00FC399D">
        <w:t xml:space="preserve"> (Boursa Kuwait, 2020)</w:t>
      </w:r>
      <w:r w:rsidRPr="00552A20">
        <w:t>. On the other hand, the equity and liabilities value was also at 315,980,427, matching its assets' value</w:t>
      </w:r>
      <w:r w:rsidR="00FC399D">
        <w:t>(Boursa Kuwait, 2020)</w:t>
      </w:r>
      <w:r w:rsidRPr="00552A20">
        <w:t xml:space="preserve">. As stated before, the assets' value should be equal to the assets and liabilities and aspect value, which the organization has met in the financial position statement. In the statement, the liabilities and assets have been </w:t>
      </w:r>
      <w:r w:rsidRPr="00552A20">
        <w:lastRenderedPageBreak/>
        <w:t>broken into two groups, that is current and non-current items. The current liabilities or assets are those within an expected life of less than months. The current liabilities are the company's obligations, required to pay within the coming year, with the inclusion of obligations to employees, suppliers, short term finance providers, and the tax office</w:t>
      </w:r>
      <w:r w:rsidR="00FC399D">
        <w:t>(</w:t>
      </w:r>
      <w:r w:rsidR="00FC399D">
        <w:rPr>
          <w:color w:val="222222"/>
          <w:szCs w:val="24"/>
          <w:shd w:val="clear" w:color="auto" w:fill="FFFFFF"/>
        </w:rPr>
        <w:t xml:space="preserve">Kieso et al., </w:t>
      </w:r>
      <w:r w:rsidR="00FC399D" w:rsidRPr="00FC399D">
        <w:rPr>
          <w:color w:val="222222"/>
          <w:szCs w:val="24"/>
          <w:shd w:val="clear" w:color="auto" w:fill="FFFFFF"/>
        </w:rPr>
        <w:t>2020)</w:t>
      </w:r>
      <w:r w:rsidRPr="00552A20">
        <w:t xml:space="preserve">. </w:t>
      </w:r>
    </w:p>
    <w:p w:rsidR="00552A20" w:rsidRPr="00552A20" w:rsidRDefault="00552A20" w:rsidP="00B5503E">
      <w:pPr>
        <w:spacing w:line="480" w:lineRule="auto"/>
        <w:ind w:firstLine="720"/>
      </w:pPr>
      <w:r w:rsidRPr="00552A20">
        <w:t>While evaluating this aspect against the financial position's provided consolidated statement, the company seems to understand the aspect well. They have laid out their current liabilities like loans, lease liability, accounts payable, and other credit balances with a clear value of the same liabilities. In addition, while evaluating the preparation of the statement, the current ratio is at 1.3</w:t>
      </w:r>
      <w:r w:rsidR="00FC399D">
        <w:t>(Boursa Kuwait, 2020)</w:t>
      </w:r>
      <w:r w:rsidRPr="00552A20">
        <w:t>. This is achieved by dividing the total current assets by the total current liabilities and is used to evaluate the company's ability to meet its short term obligation. Notably, the acceptable current ratio varies across organizations; however, for a health business, it should be between 1.2 and 2, meaning that the organization has two times more current assets than liabilities to counterbalance the debts. Besides, a ratio below one means that the organization lacks enough liquid assets to pay off its short-term liabilities. Therefore, assessing the organization's current ratio means that its financial position can be termed as healthy</w:t>
      </w:r>
      <w:r w:rsidR="00FC399D">
        <w:t>(</w:t>
      </w:r>
      <w:r w:rsidR="00FC399D">
        <w:rPr>
          <w:color w:val="222222"/>
          <w:szCs w:val="24"/>
          <w:shd w:val="clear" w:color="auto" w:fill="FFFFFF"/>
        </w:rPr>
        <w:t xml:space="preserve">Kieso et al., </w:t>
      </w:r>
      <w:r w:rsidR="00FC399D" w:rsidRPr="00FC399D">
        <w:rPr>
          <w:color w:val="222222"/>
          <w:szCs w:val="24"/>
          <w:shd w:val="clear" w:color="auto" w:fill="FFFFFF"/>
        </w:rPr>
        <w:t>2020)</w:t>
      </w:r>
      <w:r w:rsidRPr="00552A20">
        <w:t>.</w:t>
      </w:r>
    </w:p>
    <w:p w:rsidR="00552A20" w:rsidRPr="00B5503E" w:rsidRDefault="00552A20" w:rsidP="00B5503E">
      <w:pPr>
        <w:spacing w:line="480" w:lineRule="auto"/>
        <w:jc w:val="center"/>
        <w:rPr>
          <w:b/>
        </w:rPr>
      </w:pPr>
      <w:r w:rsidRPr="00B5503E">
        <w:rPr>
          <w:b/>
        </w:rPr>
        <w:t>Part 2</w:t>
      </w:r>
    </w:p>
    <w:p w:rsidR="00552A20" w:rsidRPr="00552A20" w:rsidRDefault="00552A20" w:rsidP="00B5503E">
      <w:pPr>
        <w:spacing w:line="480" w:lineRule="auto"/>
        <w:ind w:firstLine="720"/>
      </w:pPr>
      <w:r w:rsidRPr="00552A20">
        <w:t xml:space="preserve">In financing, different measurement principles can be used to prepare the statement of a financial position. First is fair value, which is a general term used to describe an asset value if it was to be sold in the current market. It assumed that a party is selling the item to an unaffiliated buyer where at this point, the buyer is not under any form of pressure to sell the item. The assumption is fundamental because it expects the seller to profit more from the good under those circumstances. The second principle is the net realizable value, which is the value of an </w:t>
      </w:r>
      <w:r w:rsidR="00570BD5" w:rsidRPr="00552A20">
        <w:t>item that</w:t>
      </w:r>
      <w:r w:rsidRPr="00552A20">
        <w:t xml:space="preserve"> </w:t>
      </w:r>
      <w:r w:rsidRPr="00552A20">
        <w:lastRenderedPageBreak/>
        <w:t xml:space="preserve">can be fetched after selling the item, less a reasonable estimate of the price associated with the item's disposal. The third principle is historical cost, which is the value calculation in the accounting process, in which the value of the item is reported with its ordinal price as the purchase price in the balance sheet. </w:t>
      </w:r>
    </w:p>
    <w:p w:rsidR="00552A20" w:rsidRPr="00552A20" w:rsidRDefault="00552A20" w:rsidP="00B5503E">
      <w:pPr>
        <w:spacing w:line="480" w:lineRule="auto"/>
        <w:ind w:firstLine="720"/>
      </w:pPr>
      <w:r w:rsidRPr="00552A20">
        <w:t>The fourth value is the replacement cost, which is when an organization will have to pay to replace an item at the current market price. One of the ways to achieve this is by evaluating the value of an insured good. The fifth principle is deprival value, which is an asset's value is equal to the loss that the asset's owner would incur in case they have deprived the item. The sixth principle is the present value, which is a concept that states that an amount of money today is not equivalent to the same amount in the future</w:t>
      </w:r>
      <w:r w:rsidR="00FC399D">
        <w:t>(</w:t>
      </w:r>
      <w:r w:rsidR="00FC399D">
        <w:rPr>
          <w:color w:val="222222"/>
          <w:szCs w:val="24"/>
          <w:shd w:val="clear" w:color="auto" w:fill="FFFFFF"/>
        </w:rPr>
        <w:t xml:space="preserve">Kieso et al., </w:t>
      </w:r>
      <w:r w:rsidR="00FC399D" w:rsidRPr="00FC399D">
        <w:rPr>
          <w:color w:val="222222"/>
          <w:szCs w:val="24"/>
          <w:shd w:val="clear" w:color="auto" w:fill="FFFFFF"/>
        </w:rPr>
        <w:t>2020)</w:t>
      </w:r>
      <w:r w:rsidRPr="00552A20">
        <w:t>. Lastly is the reproduction cost, which is more like the replacement cost; however, in this case, the company replaces the item with a similar item, which is identical; hence, it will match the productivity of the previous asset.</w:t>
      </w:r>
    </w:p>
    <w:p w:rsidR="00552A20" w:rsidRPr="00552A20" w:rsidRDefault="00552A20" w:rsidP="00B5503E">
      <w:pPr>
        <w:spacing w:line="480" w:lineRule="auto"/>
        <w:ind w:firstLine="720"/>
      </w:pPr>
      <w:r w:rsidRPr="00552A20">
        <w:t xml:space="preserve"> Arguably, Kuwait Cement Company assets lie under fair value considering that the organization has properties, equipment, and plant, which can be valued under the current market value. In addition, they also have financial assets at fair value through other comprehensive income. Besides, with the yearly evaluation, they are able to do a fair value of their items to facilitate them to produce a consolidated financial position statement. Notably, the majority of the valuation is done using the items 'current market prices; the fair value is the most suitable principle</w:t>
      </w:r>
      <w:r w:rsidR="00FC399D">
        <w:t>(Boursa Kuwait, 2020)</w:t>
      </w:r>
      <w:r w:rsidRPr="00552A20">
        <w:t xml:space="preserve">. Besides, most companies use the fair value principle because it provides accurate liability and asset valuations for companies for financial reports. The company can also mark down the asset or liability value to show that there is a decrease in its market price value. </w:t>
      </w:r>
    </w:p>
    <w:p w:rsidR="00552A20" w:rsidRPr="00B5503E" w:rsidRDefault="00552A20" w:rsidP="00B5503E">
      <w:pPr>
        <w:spacing w:line="480" w:lineRule="auto"/>
        <w:jc w:val="center"/>
        <w:rPr>
          <w:b/>
        </w:rPr>
      </w:pPr>
      <w:r w:rsidRPr="00B5503E">
        <w:rPr>
          <w:b/>
        </w:rPr>
        <w:t>Part 3</w:t>
      </w:r>
    </w:p>
    <w:p w:rsidR="00552A20" w:rsidRPr="00552A20" w:rsidRDefault="00552A20" w:rsidP="00B5503E">
      <w:pPr>
        <w:spacing w:line="480" w:lineRule="auto"/>
        <w:ind w:firstLine="720"/>
      </w:pPr>
      <w:r w:rsidRPr="00552A20">
        <w:lastRenderedPageBreak/>
        <w:t>Notably, the statement of financial position is based on three key elements that are assets, liabilities, and equity. Assets are the resources controlled owned by an organization. These include land, building, equipment, properties, cash, goodwill, and other assets that qualify the above definition. Assets are classified into two groups: current assets described as the short-term assets. These include accounts receivable, which are used to deposit moving cash like customer payments. On the other hand, the non-current assets are primarily the fixed assets, and the company's policies majorly control these assets. The second element is the liabilities, which, according to the International Accounting Standards Board (IASB), refers to the present obligations that have emerged from previous activities. These include overdraft, tax payable, bank loan, salary payment, and other aspects under this element. Liabilities are classified into two aspects that are current liabilities, which are the types of liabilities expected to be settled within 12 months, like employees' payments. On the other hand, there are non-current liabilities expected to be settled in 12 months and more like bank loans. The last element is equity, which is described by the IASB as the residual interest in the assets after the organization covered its liabilities. These include dividends payment, share capital, revaluation gains, and retain losses or earnings</w:t>
      </w:r>
      <w:r w:rsidR="00FC399D">
        <w:t>(</w:t>
      </w:r>
      <w:r w:rsidR="00FC399D">
        <w:rPr>
          <w:color w:val="222222"/>
          <w:szCs w:val="24"/>
          <w:shd w:val="clear" w:color="auto" w:fill="FFFFFF"/>
        </w:rPr>
        <w:t xml:space="preserve">Kieso et al., </w:t>
      </w:r>
      <w:r w:rsidR="00FC399D" w:rsidRPr="00FC399D">
        <w:rPr>
          <w:color w:val="222222"/>
          <w:szCs w:val="24"/>
          <w:shd w:val="clear" w:color="auto" w:fill="FFFFFF"/>
        </w:rPr>
        <w:t>2020)</w:t>
      </w:r>
      <w:r w:rsidRPr="00552A20">
        <w:t xml:space="preserve">. </w:t>
      </w:r>
    </w:p>
    <w:p w:rsidR="00552A20" w:rsidRPr="00552A20" w:rsidRDefault="00552A20" w:rsidP="00B5503E">
      <w:pPr>
        <w:spacing w:line="480" w:lineRule="auto"/>
        <w:ind w:firstLine="720"/>
      </w:pPr>
      <w:r w:rsidRPr="00552A20">
        <w:t>Reflecting on the above information on the provided consolidated financial position statement, Kuwait Cement Company met all the above elements in its financial position statement. Besides, they have even provided different aspects under the classifications; for instance, in the non-current assets, they have included the right of use assets, whereas, in the non-current liabilities, they have included lease liability. Notably, each element has been laid out well in consolidated in the financial position statement, with each having its valuations and the annual revenue and expenses based on the elements</w:t>
      </w:r>
      <w:r w:rsidR="00FC399D">
        <w:t>(Boursa Kuwait, 2020)</w:t>
      </w:r>
      <w:r w:rsidRPr="00552A20">
        <w:t xml:space="preserve">. </w:t>
      </w:r>
    </w:p>
    <w:p w:rsidR="00552A20" w:rsidRPr="00B5503E" w:rsidRDefault="00552A20" w:rsidP="00B5503E">
      <w:pPr>
        <w:spacing w:line="480" w:lineRule="auto"/>
        <w:jc w:val="center"/>
        <w:rPr>
          <w:b/>
        </w:rPr>
      </w:pPr>
      <w:r w:rsidRPr="00B5503E">
        <w:rPr>
          <w:b/>
        </w:rPr>
        <w:lastRenderedPageBreak/>
        <w:t>Part 4</w:t>
      </w:r>
    </w:p>
    <w:p w:rsidR="00552A20" w:rsidRPr="00552A20" w:rsidRDefault="00552A20" w:rsidP="00B5503E">
      <w:pPr>
        <w:spacing w:line="480" w:lineRule="auto"/>
        <w:ind w:firstLine="720"/>
      </w:pPr>
      <w:r w:rsidRPr="00552A20">
        <w:t>The key distinction between cash accounting and accrual accounting is in the timing of when purchases and sales are recorded in the accounts. In cash accounting, it recognizes expenses and revenue when cash switches hands. That is, a transaction is not recorded unless money is paid or received. Therefore, it is obvious that the organization's income is not taxed unless deposited in the bank. This aspect might be challenging for the elevation of the organization's payment of taxes. In contrast, accrual accounting recognizes earned revenue and billed expenses but not paid. Notably, accrual accounting poses a challenge because it is majorly meant for the long-term evaluation; hence, it might not provide a clear cash flow</w:t>
      </w:r>
      <w:r w:rsidR="00FC399D">
        <w:t>(</w:t>
      </w:r>
      <w:r w:rsidR="00FC399D">
        <w:rPr>
          <w:color w:val="222222"/>
          <w:szCs w:val="24"/>
          <w:shd w:val="clear" w:color="auto" w:fill="FFFFFF"/>
        </w:rPr>
        <w:t xml:space="preserve">Kieso et al., </w:t>
      </w:r>
      <w:r w:rsidR="00FC399D" w:rsidRPr="00FC399D">
        <w:rPr>
          <w:color w:val="222222"/>
          <w:szCs w:val="24"/>
          <w:shd w:val="clear" w:color="auto" w:fill="FFFFFF"/>
        </w:rPr>
        <w:t>2020)</w:t>
      </w:r>
      <w:r w:rsidRPr="00552A20">
        <w:t>.</w:t>
      </w:r>
    </w:p>
    <w:p w:rsidR="000C0014" w:rsidRDefault="00552A20" w:rsidP="00B5503E">
      <w:pPr>
        <w:spacing w:line="480" w:lineRule="auto"/>
        <w:ind w:firstLine="720"/>
      </w:pPr>
      <w:r w:rsidRPr="00552A20">
        <w:t xml:space="preserve"> However, cash accounting is most preferred by small businesses, whereas big companies mostly prefer accrual accounting. This is because it portrays more accuracy levels and shows the progression of the company's health, for it provides realistic ideas on the organization's expenses and income over a given period of time. Hence it can provide a long-term picture of the organization and provide answers to the questions which cash accounting cannot bring out.  Based on the provided consolidated statement of the financial position, Kuwait Cement Company uses accrual accounting</w:t>
      </w:r>
      <w:r w:rsidR="00FC399D">
        <w:t>(Boursa Kuwait, 2020)</w:t>
      </w:r>
      <w:r w:rsidRPr="00552A20">
        <w:t>. This is because the company depends on the long-term concept to analyze its earnings over time. Besides, it gives the company a better reflection of the expenses and revenues within a given period. In this case, it is their annual accounting, which helps them calculate the company's expenses and revenues.</w:t>
      </w:r>
    </w:p>
    <w:p w:rsidR="00FC399D" w:rsidRDefault="00FC399D" w:rsidP="00FA6210">
      <w:pPr>
        <w:spacing w:line="480" w:lineRule="auto"/>
        <w:rPr>
          <w:b/>
        </w:rPr>
      </w:pPr>
    </w:p>
    <w:p w:rsidR="00FA6210" w:rsidRDefault="00FA6210" w:rsidP="00FA6210">
      <w:pPr>
        <w:spacing w:line="480" w:lineRule="auto"/>
        <w:rPr>
          <w:b/>
        </w:rPr>
      </w:pPr>
    </w:p>
    <w:p w:rsidR="008A0B9E" w:rsidRPr="00FC399D" w:rsidRDefault="00FC399D" w:rsidP="00FC399D">
      <w:pPr>
        <w:spacing w:line="480" w:lineRule="auto"/>
        <w:jc w:val="center"/>
        <w:rPr>
          <w:b/>
        </w:rPr>
      </w:pPr>
      <w:r w:rsidRPr="00FC399D">
        <w:rPr>
          <w:b/>
        </w:rPr>
        <w:lastRenderedPageBreak/>
        <w:t>References</w:t>
      </w:r>
    </w:p>
    <w:p w:rsidR="008A0B9E" w:rsidRDefault="008A0B9E" w:rsidP="00FC399D">
      <w:pPr>
        <w:spacing w:line="480" w:lineRule="auto"/>
        <w:ind w:left="720" w:hanging="720"/>
      </w:pPr>
      <w:r>
        <w:t xml:space="preserve">Boursa Kuwait, (2020). </w:t>
      </w:r>
      <w:r w:rsidRPr="00552A20">
        <w:t>Kuwait Cement Company</w:t>
      </w:r>
      <w:r>
        <w:t xml:space="preserve"> (K.P.S.C). </w:t>
      </w:r>
      <w:r w:rsidRPr="008A0B9E">
        <w:rPr>
          <w:i/>
        </w:rPr>
        <w:t>Boursa Kuwait</w:t>
      </w:r>
      <w:r>
        <w:t xml:space="preserve">. Retrieved from: </w:t>
      </w:r>
      <w:hyperlink r:id="rId6" w:anchor="503" w:history="1">
        <w:r w:rsidRPr="00AC79BB">
          <w:rPr>
            <w:rStyle w:val="Hyperlink"/>
          </w:rPr>
          <w:t>https://www.boursakuwait.com.kw/en/stock/financial-data/balance-sheet#503</w:t>
        </w:r>
      </w:hyperlink>
    </w:p>
    <w:p w:rsidR="008A0B9E" w:rsidRPr="00FC399D" w:rsidRDefault="008A0B9E" w:rsidP="00FC399D">
      <w:pPr>
        <w:spacing w:line="480" w:lineRule="auto"/>
        <w:ind w:left="720" w:hanging="720"/>
        <w:rPr>
          <w:szCs w:val="24"/>
        </w:rPr>
      </w:pPr>
      <w:r w:rsidRPr="00FC399D">
        <w:rPr>
          <w:color w:val="222222"/>
          <w:szCs w:val="24"/>
          <w:shd w:val="clear" w:color="auto" w:fill="FFFFFF"/>
        </w:rPr>
        <w:t>Kieso, D. E., Weygandt</w:t>
      </w:r>
      <w:bookmarkStart w:id="0" w:name="_GoBack"/>
      <w:bookmarkEnd w:id="0"/>
      <w:r w:rsidRPr="00FC399D">
        <w:rPr>
          <w:color w:val="222222"/>
          <w:szCs w:val="24"/>
          <w:shd w:val="clear" w:color="auto" w:fill="FFFFFF"/>
        </w:rPr>
        <w:t>, J. J., &amp; Warfield, T. D. (2020). </w:t>
      </w:r>
      <w:r w:rsidRPr="00FC399D">
        <w:rPr>
          <w:i/>
          <w:iCs/>
          <w:color w:val="222222"/>
          <w:szCs w:val="24"/>
          <w:shd w:val="clear" w:color="auto" w:fill="FFFFFF"/>
        </w:rPr>
        <w:t>Intermediate accounting IFRS</w:t>
      </w:r>
      <w:r w:rsidRPr="00FC399D">
        <w:rPr>
          <w:color w:val="222222"/>
          <w:szCs w:val="24"/>
          <w:shd w:val="clear" w:color="auto" w:fill="FFFFFF"/>
        </w:rPr>
        <w:t>. John Wiley &amp; Sons.</w:t>
      </w:r>
    </w:p>
    <w:p w:rsidR="008A0B9E" w:rsidRDefault="008A0B9E" w:rsidP="008A0B9E">
      <w:pPr>
        <w:spacing w:line="480" w:lineRule="auto"/>
      </w:pPr>
    </w:p>
    <w:p w:rsidR="008A0B9E" w:rsidRPr="00552A20" w:rsidRDefault="008A0B9E" w:rsidP="008A0B9E">
      <w:pPr>
        <w:spacing w:line="480" w:lineRule="auto"/>
      </w:pPr>
    </w:p>
    <w:sectPr w:rsidR="008A0B9E" w:rsidRPr="00552A20" w:rsidSect="006C2B4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7618" w:rsidRDefault="00C37618" w:rsidP="00FA6210">
      <w:pPr>
        <w:spacing w:after="0" w:line="240" w:lineRule="auto"/>
      </w:pPr>
      <w:r>
        <w:separator/>
      </w:r>
    </w:p>
  </w:endnote>
  <w:endnote w:type="continuationSeparator" w:id="1">
    <w:p w:rsidR="00C37618" w:rsidRDefault="00C37618" w:rsidP="00FA62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7618" w:rsidRDefault="00C37618" w:rsidP="00FA6210">
      <w:pPr>
        <w:spacing w:after="0" w:line="240" w:lineRule="auto"/>
      </w:pPr>
      <w:r>
        <w:separator/>
      </w:r>
    </w:p>
  </w:footnote>
  <w:footnote w:type="continuationSeparator" w:id="1">
    <w:p w:rsidR="00C37618" w:rsidRDefault="00C37618" w:rsidP="00FA62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210" w:rsidRDefault="00FA6210">
    <w:pPr>
      <w:pStyle w:val="Header"/>
    </w:pPr>
    <w:r>
      <w:tab/>
    </w:r>
    <w:r>
      <w:tab/>
    </w:r>
    <w:r w:rsidR="00E23BB7">
      <w:fldChar w:fldCharType="begin"/>
    </w:r>
    <w:r>
      <w:instrText xml:space="preserve"> PAGE   \* MERGEFORMAT </w:instrText>
    </w:r>
    <w:r w:rsidR="00E23BB7">
      <w:fldChar w:fldCharType="separate"/>
    </w:r>
    <w:r w:rsidR="00570BD5">
      <w:rPr>
        <w:noProof/>
      </w:rPr>
      <w:t>3</w:t>
    </w:r>
    <w:r w:rsidR="00E23BB7">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342FA5"/>
    <w:rsid w:val="00014FAA"/>
    <w:rsid w:val="00074184"/>
    <w:rsid w:val="000C0014"/>
    <w:rsid w:val="0010390E"/>
    <w:rsid w:val="001B1536"/>
    <w:rsid w:val="00220AC8"/>
    <w:rsid w:val="002518FF"/>
    <w:rsid w:val="0028714D"/>
    <w:rsid w:val="002A3720"/>
    <w:rsid w:val="002F53BB"/>
    <w:rsid w:val="00342FA5"/>
    <w:rsid w:val="003549CE"/>
    <w:rsid w:val="003672D0"/>
    <w:rsid w:val="003B40AC"/>
    <w:rsid w:val="004117E1"/>
    <w:rsid w:val="00413A28"/>
    <w:rsid w:val="00450A2E"/>
    <w:rsid w:val="004862E4"/>
    <w:rsid w:val="004B0AAB"/>
    <w:rsid w:val="0052394A"/>
    <w:rsid w:val="0054744D"/>
    <w:rsid w:val="00552A20"/>
    <w:rsid w:val="00570BD5"/>
    <w:rsid w:val="00591681"/>
    <w:rsid w:val="005D4767"/>
    <w:rsid w:val="005F585C"/>
    <w:rsid w:val="00624E1C"/>
    <w:rsid w:val="00650B2E"/>
    <w:rsid w:val="006C2B48"/>
    <w:rsid w:val="00733D75"/>
    <w:rsid w:val="007A1502"/>
    <w:rsid w:val="00833958"/>
    <w:rsid w:val="00851B33"/>
    <w:rsid w:val="008827FA"/>
    <w:rsid w:val="008A0B9E"/>
    <w:rsid w:val="008B46AA"/>
    <w:rsid w:val="008F0A23"/>
    <w:rsid w:val="009C796E"/>
    <w:rsid w:val="00A25EAD"/>
    <w:rsid w:val="00A3617A"/>
    <w:rsid w:val="00AA6F80"/>
    <w:rsid w:val="00B12822"/>
    <w:rsid w:val="00B5503E"/>
    <w:rsid w:val="00B7184D"/>
    <w:rsid w:val="00BE5049"/>
    <w:rsid w:val="00C37618"/>
    <w:rsid w:val="00C4479A"/>
    <w:rsid w:val="00C6283F"/>
    <w:rsid w:val="00C9557B"/>
    <w:rsid w:val="00CA782A"/>
    <w:rsid w:val="00CD00DF"/>
    <w:rsid w:val="00D836DE"/>
    <w:rsid w:val="00DD2A9A"/>
    <w:rsid w:val="00E15DCA"/>
    <w:rsid w:val="00E23BB7"/>
    <w:rsid w:val="00E252CB"/>
    <w:rsid w:val="00F3211A"/>
    <w:rsid w:val="00FA6210"/>
    <w:rsid w:val="00FC399D"/>
    <w:rsid w:val="00FD76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B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0B9E"/>
    <w:rPr>
      <w:color w:val="0563C1" w:themeColor="hyperlink"/>
      <w:u w:val="single"/>
    </w:rPr>
  </w:style>
  <w:style w:type="paragraph" w:styleId="Header">
    <w:name w:val="header"/>
    <w:basedOn w:val="Normal"/>
    <w:link w:val="HeaderChar"/>
    <w:uiPriority w:val="99"/>
    <w:unhideWhenUsed/>
    <w:rsid w:val="00FA62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210"/>
  </w:style>
  <w:style w:type="paragraph" w:styleId="Footer">
    <w:name w:val="footer"/>
    <w:basedOn w:val="Normal"/>
    <w:link w:val="FooterChar"/>
    <w:uiPriority w:val="99"/>
    <w:unhideWhenUsed/>
    <w:rsid w:val="00FA6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21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oursakuwait.com.kw/en/stock/financial-data/balance-shee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1534</Words>
  <Characters>8747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2021-01-19T12:11:00Z</dcterms:created>
  <dcterms:modified xsi:type="dcterms:W3CDTF">2021-01-19T12:11:00Z</dcterms:modified>
</cp:coreProperties>
</file>